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"Netherlands."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Operation World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11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"Amsterdam Wallpaper."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Full HD Desktop Wallpapers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11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"Netherlands Traditional Food."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Food Wallpaper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11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"Dutch Trade Focuses on a Limited Number of Countries and Goods."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CBS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11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"The New Dutch Economy: Innovative, International and Involving | Innovation Management."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Innovation Management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11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"Dutch Trade Focuses on a Limited Number of Countries and Goods."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CBS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11 Sept.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"Amsterdam Travel Guide - Www.amsterdam.info." </w:t>
      </w:r>
      <w:r w:rsidRPr="00000000" w:rsidR="00000000" w:rsidDel="00000000">
        <w:rPr>
          <w:rFonts w:cs="Times New Roman" w:hAnsi="Times New Roman" w:eastAsia="Times New Roman" w:ascii="Times New Roman"/>
          <w:i w:val="1"/>
          <w:highlight w:val="white"/>
          <w:rtl w:val="0"/>
        </w:rPr>
        <w:t xml:space="preserve">Amsterdam Travel Guide - Www.amsterdam.info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"Top 10 Cities to Visit in the Netherlands by Train."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Europe On Track RSS 092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N.p., n.d. Web. 23 Sept. 2014.</w:t>
      </w:r>
    </w:p>
    <w:p w:rsidP="00000000" w:rsidRPr="00000000" w:rsidR="00000000" w:rsidDel="00000000" w:rsidRDefault="00000000">
      <w:pPr>
        <w:spacing w:lineRule="auto" w:line="314"/>
        <w:ind w:hanging="59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"Living in Holland."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YouTube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YouTube, n.d. Web. 24 Sept. 2014.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sited website.docx</dc:title>
</cp:coreProperties>
</file>